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D4" w:rsidRDefault="000A43D4" w:rsidP="000A4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Komisija smatra da bi pregovore o pristupanju Europskoj uniji trebalo otvoriti s Bosnom i </w:t>
      </w:r>
      <w:r>
        <w:rPr>
          <w:rFonts w:ascii="TimesNewRomanPSMT" w:hAnsi="TimesNewRomanPSMT" w:cs="TimesNewRomanPSMT"/>
          <w:sz w:val="23"/>
          <w:szCs w:val="23"/>
        </w:rPr>
        <w:t xml:space="preserve">Hercegovinom kad dosegne potreban stupanj usklađenosti s kriterijima za članstvo, a posebno s političkim kriterijima iz Kopenhagena kojima se zahtijeva stabilnost institucija koje jamče </w:t>
      </w:r>
      <w:r>
        <w:rPr>
          <w:sz w:val="23"/>
          <w:szCs w:val="23"/>
        </w:rPr>
        <w:t xml:space="preserve">ponajprije demokraciju </w:t>
      </w:r>
      <w:r>
        <w:rPr>
          <w:rFonts w:ascii="TimesNewRomanPSMT" w:hAnsi="TimesNewRomanPSMT" w:cs="TimesNewRomanPSMT"/>
          <w:sz w:val="23"/>
          <w:szCs w:val="23"/>
        </w:rPr>
        <w:t xml:space="preserve">i vladavinu prava. Bosna i Hercegovina morat će znatno poboljšati svoj zakonodavni i institucionalni okvir kako bi mogla ostvariti sljedeće ključne prioritete: </w:t>
      </w:r>
    </w:p>
    <w:p w:rsidR="000A43D4" w:rsidRDefault="000A43D4" w:rsidP="000A43D4">
      <w:pPr>
        <w:pStyle w:val="Default"/>
        <w:rPr>
          <w:i/>
          <w:iCs/>
          <w:sz w:val="23"/>
          <w:szCs w:val="23"/>
        </w:rPr>
      </w:pPr>
    </w:p>
    <w:p w:rsidR="000A43D4" w:rsidRDefault="000A43D4" w:rsidP="000A43D4">
      <w:pPr>
        <w:pStyle w:val="Default"/>
        <w:rPr>
          <w:i/>
          <w:iCs/>
          <w:sz w:val="23"/>
          <w:szCs w:val="23"/>
        </w:rPr>
      </w:pPr>
    </w:p>
    <w:p w:rsidR="000A43D4" w:rsidRDefault="000A43D4" w:rsidP="000A43D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Demokracija/funkcionalnost </w:t>
      </w:r>
    </w:p>
    <w:p w:rsidR="000A43D4" w:rsidRDefault="000A43D4" w:rsidP="000A43D4">
      <w:pPr>
        <w:pStyle w:val="Default"/>
        <w:rPr>
          <w:sz w:val="23"/>
          <w:szCs w:val="23"/>
        </w:rPr>
      </w:pPr>
    </w:p>
    <w:p w:rsidR="000A43D4" w:rsidRDefault="000A43D4" w:rsidP="00040FBD">
      <w:pPr>
        <w:pStyle w:val="Default"/>
        <w:numPr>
          <w:ilvl w:val="0"/>
          <w:numId w:val="3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Osigurati da se izbori provode u skladu s europskim standardima provedbom preporuka OESS-a/ODIHR-</w:t>
      </w:r>
      <w:r>
        <w:rPr>
          <w:rFonts w:ascii="TimesNewRomanPSMT" w:hAnsi="TimesNewRomanPSMT" w:cs="TimesNewRomanPSMT"/>
          <w:sz w:val="23"/>
          <w:szCs w:val="23"/>
        </w:rPr>
        <w:t xml:space="preserve">a i odgovarajućih preporuka Venecijanske komisije, uz transparentnost financiranja političkih stranaka i održavanje lokalnih izbora u </w:t>
      </w:r>
      <w:r>
        <w:rPr>
          <w:sz w:val="23"/>
          <w:szCs w:val="23"/>
        </w:rPr>
        <w:t>Mostaru.</w:t>
      </w:r>
    </w:p>
    <w:p w:rsidR="000A43D4" w:rsidRDefault="000A43D4" w:rsidP="00040FBD">
      <w:pPr>
        <w:pStyle w:val="Default"/>
        <w:spacing w:after="68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A43D4" w:rsidRDefault="000A43D4" w:rsidP="000A43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2. Osigurati rezultate na svim razinama funkcioniranja mehanizama za koordinaciju u pitanjima EU-</w:t>
      </w:r>
      <w:r>
        <w:rPr>
          <w:rFonts w:ascii="TimesNewRomanPSMT" w:hAnsi="TimesNewRomanPSMT" w:cs="TimesNewRomanPSMT"/>
          <w:sz w:val="23"/>
          <w:szCs w:val="23"/>
        </w:rPr>
        <w:t>a, uključujući izradu i donošenje nacionalnog programa za usvajanje pravne stečevine EU</w:t>
      </w:r>
      <w:r>
        <w:rPr>
          <w:sz w:val="23"/>
          <w:szCs w:val="23"/>
        </w:rPr>
        <w:t xml:space="preserve">-a. </w:t>
      </w:r>
    </w:p>
    <w:p w:rsidR="000A43D4" w:rsidRDefault="000A43D4" w:rsidP="000A43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Osigurati pravilno funkcioniranje Parlamentarnog odbora za stabilizaciju i </w:t>
      </w:r>
      <w:r>
        <w:rPr>
          <w:rFonts w:ascii="TimesNewRomanPSMT" w:hAnsi="TimesNewRomanPSMT" w:cs="TimesNewRomanPSMT"/>
          <w:sz w:val="23"/>
          <w:szCs w:val="23"/>
        </w:rPr>
        <w:t xml:space="preserve">pridruživanje. </w:t>
      </w:r>
    </w:p>
    <w:p w:rsidR="000A43D4" w:rsidRDefault="000A43D4" w:rsidP="000A43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TimesNewRomanPSMT" w:hAnsi="TimesNewRomanPSMT" w:cs="TimesNewRomanPSMT"/>
          <w:sz w:val="23"/>
          <w:szCs w:val="23"/>
        </w:rPr>
        <w:t xml:space="preserve">Znatno poboljšati institucionalni okvir, među ostalim na ustavnoj </w:t>
      </w:r>
      <w:r>
        <w:rPr>
          <w:sz w:val="23"/>
          <w:szCs w:val="23"/>
        </w:rPr>
        <w:t xml:space="preserve">razini: </w:t>
      </w:r>
    </w:p>
    <w:p w:rsidR="000A43D4" w:rsidRDefault="000A43D4" w:rsidP="000A43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rFonts w:ascii="TimesNewRomanPSMT" w:hAnsi="TimesNewRomanPSMT" w:cs="TimesNewRomanPSMT"/>
          <w:sz w:val="23"/>
          <w:szCs w:val="23"/>
        </w:rPr>
        <w:t xml:space="preserve">kako bi se osigurala pravna sigurnost u pogledu podjele nadležnosti među svim </w:t>
      </w:r>
      <w:r>
        <w:rPr>
          <w:sz w:val="23"/>
          <w:szCs w:val="23"/>
        </w:rPr>
        <w:t xml:space="preserve">razinama vlasti; </w:t>
      </w:r>
    </w:p>
    <w:p w:rsidR="000A43D4" w:rsidRDefault="000A43D4" w:rsidP="000A43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rFonts w:ascii="TimesNewRomanPSMT" w:hAnsi="TimesNewRomanPSMT" w:cs="TimesNewRomanPSMT"/>
          <w:sz w:val="23"/>
          <w:szCs w:val="23"/>
        </w:rPr>
        <w:t>kako bi se uvela klauzula o zamjeni kojom bi se državi pri pristupanju omogućilo privremeno izvršavanje nadležnosti drugih razina vlasti radi sprečavanj</w:t>
      </w:r>
      <w:r>
        <w:rPr>
          <w:sz w:val="23"/>
          <w:szCs w:val="23"/>
        </w:rPr>
        <w:t xml:space="preserve">a i uklanjanja povreda prava EU-a; </w:t>
      </w:r>
    </w:p>
    <w:p w:rsidR="000A43D4" w:rsidRDefault="000A43D4" w:rsidP="000A43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rFonts w:ascii="TimesNewRomanPSMT" w:hAnsi="TimesNewRomanPSMT" w:cs="TimesNewRomanPSMT"/>
          <w:sz w:val="23"/>
          <w:szCs w:val="23"/>
        </w:rPr>
        <w:t xml:space="preserve">kako bi se zajamčila neovisnost pravosuđa, uključujući njegovu instituciju za samoupravljanje (Visoko sudsko i tužilačko vijeće); </w:t>
      </w:r>
    </w:p>
    <w:p w:rsidR="000A43D4" w:rsidRDefault="000A43D4" w:rsidP="000A4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rFonts w:ascii="TimesNewRomanPSMT" w:hAnsi="TimesNewRomanPSMT" w:cs="TimesNewRomanPSMT"/>
          <w:sz w:val="23"/>
          <w:szCs w:val="23"/>
        </w:rPr>
        <w:t xml:space="preserve">kako bi se reformirao Ustavni sud, uključujući rješavanje pitanja međunarodnih </w:t>
      </w:r>
      <w:r>
        <w:rPr>
          <w:sz w:val="23"/>
          <w:szCs w:val="23"/>
        </w:rPr>
        <w:t xml:space="preserve">sudaca, i osigurala provedba njegovih odluka; </w:t>
      </w:r>
    </w:p>
    <w:p w:rsidR="000A43D4" w:rsidRDefault="000A43D4" w:rsidP="000A4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 </w:t>
      </w:r>
    </w:p>
    <w:p w:rsidR="000A43D4" w:rsidRDefault="000A43D4" w:rsidP="000A43D4">
      <w:pPr>
        <w:pStyle w:val="Default"/>
        <w:rPr>
          <w:color w:val="auto"/>
        </w:rPr>
      </w:pPr>
    </w:p>
    <w:p w:rsidR="000A43D4" w:rsidRDefault="000A43D4" w:rsidP="000A43D4">
      <w:pPr>
        <w:pStyle w:val="Default"/>
        <w:pageBreakBefore/>
        <w:rPr>
          <w:color w:val="auto"/>
        </w:rPr>
      </w:pP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kako bi se zajamčila pravna sigurnost, među ostalim osnivanjem pravosudnog tijela kojem je povjereno dosljedno tumačenje zakona u cijeloj Bosni i </w:t>
      </w:r>
      <w:r>
        <w:rPr>
          <w:color w:val="auto"/>
          <w:sz w:val="23"/>
          <w:szCs w:val="23"/>
        </w:rPr>
        <w:t xml:space="preserve">Hercegovini;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kako bi se osigurala jednakost i nediskriminacija građana, posebno uzimajući u </w:t>
      </w:r>
      <w:r>
        <w:rPr>
          <w:color w:val="auto"/>
          <w:sz w:val="23"/>
          <w:szCs w:val="23"/>
        </w:rPr>
        <w:t xml:space="preserve">obzir sudsku praksu Europskog suda za ljudska prava u predmetu </w:t>
      </w:r>
      <w:r>
        <w:rPr>
          <w:rFonts w:ascii="TimesNewRomanPS-ItalicMT" w:hAnsi="TimesNewRomanPS-ItalicMT" w:cs="TimesNewRomanPS-ItalicMT"/>
          <w:i/>
          <w:iCs/>
          <w:color w:val="auto"/>
          <w:sz w:val="23"/>
          <w:szCs w:val="23"/>
        </w:rPr>
        <w:t xml:space="preserve">Sejdić i Finci </w:t>
      </w:r>
      <w:r>
        <w:rPr>
          <w:i/>
          <w:iCs/>
          <w:color w:val="auto"/>
          <w:sz w:val="23"/>
          <w:szCs w:val="23"/>
        </w:rPr>
        <w:t>protiv Bosne i Hercegovine</w:t>
      </w:r>
      <w:r>
        <w:rPr>
          <w:color w:val="auto"/>
          <w:sz w:val="23"/>
          <w:szCs w:val="23"/>
        </w:rPr>
        <w:t xml:space="preserve">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kako bi se osiguralo da se sva upravna tijela sa zadaćom da provode pravnu stečevinu temelje samo na stručnosti i da ukinu pravo veta pri donošenju odluka, u skladu s pravnom stečevinom.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Poduzeti konkretne mjere sa svrhom promicanja okruženja pogodnog za pomirenje </w:t>
      </w:r>
      <w:r>
        <w:rPr>
          <w:color w:val="auto"/>
          <w:sz w:val="23"/>
          <w:szCs w:val="23"/>
        </w:rPr>
        <w:t xml:space="preserve">kako bi se prevladale posljedice rata.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Vladavina prava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Poboljšati funkcioniranje pravosuđa donošenjem novog zakonodavstva </w:t>
      </w:r>
      <w:r>
        <w:rPr>
          <w:color w:val="auto"/>
          <w:sz w:val="23"/>
          <w:szCs w:val="23"/>
        </w:rPr>
        <w:t xml:space="preserve">o Visokom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sudskom i tužilačkom vijeću te sudovima Bosne i Hercegovine u skladu s europskim </w:t>
      </w:r>
      <w:r>
        <w:rPr>
          <w:color w:val="auto"/>
          <w:sz w:val="23"/>
          <w:szCs w:val="23"/>
        </w:rPr>
        <w:t xml:space="preserve">standardima.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Jačati prevenciju i borbu protiv korupcije i organiziranog kriminala, uključujući pranje </w:t>
      </w:r>
      <w:r>
        <w:rPr>
          <w:color w:val="auto"/>
          <w:sz w:val="23"/>
          <w:szCs w:val="23"/>
        </w:rPr>
        <w:t xml:space="preserve">novca i terorizam, posebno: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donošenjem i provođenjem zakonodavstva o sukobu interesa i zaštiti zviždača;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osiguravanjem djelotvornog funkcioniranja i koordinacije tijela za borbu protiv korupcije;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usklađivanjem zakonodavstva i jačanjem kapaciteta u području javne nabave;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</w:t>
      </w:r>
      <w:r>
        <w:rPr>
          <w:rFonts w:ascii="TimesNewRomanPSMT" w:hAnsi="TimesNewRomanPSMT" w:cs="TimesNewRomanPSMT"/>
          <w:color w:val="auto"/>
          <w:sz w:val="23"/>
          <w:szCs w:val="23"/>
        </w:rPr>
        <w:t>osiguravanjem djelotvorne suradnje među tijel</w:t>
      </w:r>
      <w:r>
        <w:rPr>
          <w:color w:val="auto"/>
          <w:sz w:val="23"/>
          <w:szCs w:val="23"/>
        </w:rPr>
        <w:t xml:space="preserve">ima za kazneni progon i s uredima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tužitelja;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pokazivanjem napretka u postizanju rezultata proaktivnih istraga, potvrđenih optužnica, kaznenog progona i pravomoćnih presuda protiv organiziranog kriminala i korupcije, među ostalim na visokoj razini; </w:t>
      </w:r>
    </w:p>
    <w:p w:rsidR="000A43D4" w:rsidRDefault="000A43D4" w:rsidP="000A43D4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f) depoliti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ziranjem i restrukturiranjem javnih poduzeća te osiguravanjem </w:t>
      </w:r>
      <w:r>
        <w:rPr>
          <w:color w:val="auto"/>
          <w:sz w:val="23"/>
          <w:szCs w:val="23"/>
        </w:rPr>
        <w:t xml:space="preserve">transparentnosti procesa privatizacije.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Osigurati djelotvornu koordinaciju kapaciteta za upravljanje granicama i za upravljanje migracijama na svim razinama te osigurati funkcioniranje sustava azila.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Temeljna prava </w:t>
      </w:r>
    </w:p>
    <w:p w:rsidR="000A43D4" w:rsidRDefault="000A43D4" w:rsidP="000A43D4">
      <w:pPr>
        <w:pStyle w:val="Default"/>
        <w:spacing w:after="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Jačati zaštitu prava svih građana, posebno osiguravanjem provedbe zakonodavstva o </w:t>
      </w:r>
      <w:r>
        <w:rPr>
          <w:color w:val="auto"/>
          <w:sz w:val="23"/>
          <w:szCs w:val="23"/>
        </w:rPr>
        <w:t xml:space="preserve">nediskriminaciji i rodnoj ravnopravnosti. </w:t>
      </w:r>
    </w:p>
    <w:p w:rsidR="000A43D4" w:rsidRDefault="000A43D4" w:rsidP="000A43D4">
      <w:pPr>
        <w:pStyle w:val="Default"/>
        <w:spacing w:after="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Osigurati pravo na život i zabranu mučenja, posebno a) ukidanjem upućivanja na </w:t>
      </w:r>
      <w:r>
        <w:rPr>
          <w:color w:val="auto"/>
          <w:sz w:val="23"/>
          <w:szCs w:val="23"/>
        </w:rPr>
        <w:t xml:space="preserve">smrtnu kaznu u ustavu Republike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Srpske i b) određivanjem nacionalnog preventivnog mehanizma za borbu protiv mučenja i zlostavljanja. </w:t>
      </w:r>
    </w:p>
    <w:p w:rsidR="000A43D4" w:rsidRDefault="000A43D4" w:rsidP="000A43D4">
      <w:pPr>
        <w:pStyle w:val="Default"/>
        <w:spacing w:after="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Osigurati poticajno okruženje za civilno društvo, posebno poštovanjem europskih standarda o slobodi udruživanja i slobodi okupljanja.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Jamčiti slobodu izražavanja i medija te zaštitu novinara, posebno a) osiguravanjem odgovarajućeg pravosudnog praćenja slučajeva prijetnji i nasilja nad novinarima i medijskim djelatnicima te (b) osiguravanjem financijske održivosti javnog </w:t>
      </w:r>
      <w:r>
        <w:rPr>
          <w:color w:val="auto"/>
          <w:sz w:val="23"/>
          <w:szCs w:val="23"/>
        </w:rPr>
        <w:t xml:space="preserve">radiotelevizijskog sustava.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 </w:t>
      </w:r>
    </w:p>
    <w:p w:rsidR="000A43D4" w:rsidRDefault="000A43D4" w:rsidP="000A43D4">
      <w:pPr>
        <w:pStyle w:val="Default"/>
        <w:rPr>
          <w:color w:val="auto"/>
        </w:rPr>
      </w:pPr>
    </w:p>
    <w:p w:rsidR="000A43D4" w:rsidRDefault="000A43D4" w:rsidP="000A43D4">
      <w:pPr>
        <w:pStyle w:val="Default"/>
        <w:pageBreakBefore/>
        <w:rPr>
          <w:color w:val="auto"/>
        </w:rPr>
      </w:pPr>
    </w:p>
    <w:p w:rsidR="000A43D4" w:rsidRPr="000A43D4" w:rsidRDefault="000A43D4" w:rsidP="000A43D4">
      <w:pPr>
        <w:pStyle w:val="Default"/>
        <w:rPr>
          <w:color w:val="auto"/>
          <w:sz w:val="28"/>
          <w:szCs w:val="28"/>
        </w:rPr>
      </w:pPr>
      <w:r w:rsidRPr="000A43D4">
        <w:rPr>
          <w:color w:val="auto"/>
          <w:sz w:val="28"/>
          <w:szCs w:val="28"/>
        </w:rPr>
        <w:t xml:space="preserve">13. Poboljšati zaštitu i uključivanje ranjivih skupina, posebno osoba s invaliditetom, djece, pripadnika zajednice LGBTI, pripadnika romske zajednice, zadržanih osoba, migranata i tražitelja azila te raseljenih osoba i izbjeglica, u skladu s ciljem zaključivanja Priloga VII. Mirovnom sporazumu iz Daytona.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Reforma javne uprave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</w:t>
      </w:r>
      <w:r>
        <w:rPr>
          <w:rFonts w:ascii="TimesNewRomanPSMT" w:hAnsi="TimesNewRomanPSMT" w:cs="TimesNewRomanPSMT"/>
          <w:color w:val="auto"/>
          <w:sz w:val="23"/>
          <w:szCs w:val="23"/>
        </w:rPr>
        <w:t>Dovršiti ključne mjere reforme javne uprave usmjerene na poboljšanje cjelokupnog funkcioniranja javne uprave osiguravanjem stručne i depolitizirane državne službe te usklađenog pristupa donoše</w:t>
      </w:r>
      <w:r>
        <w:rPr>
          <w:color w:val="auto"/>
          <w:sz w:val="23"/>
          <w:szCs w:val="23"/>
        </w:rPr>
        <w:t xml:space="preserve">nju politika na razini cijele zemlje.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rFonts w:ascii="TimesNewRomanPSMT" w:hAnsi="TimesNewRomanPSMT" w:cs="TimesNewRomanPSMT"/>
          <w:color w:val="auto"/>
          <w:sz w:val="23"/>
          <w:szCs w:val="23"/>
        </w:rPr>
        <w:t xml:space="preserve">Komisija potiče sve razine vlasti Bosne i Hercegovine da se dogovore o novom skupu mjera </w:t>
      </w:r>
      <w:r>
        <w:rPr>
          <w:color w:val="auto"/>
          <w:sz w:val="23"/>
          <w:szCs w:val="23"/>
        </w:rPr>
        <w:t xml:space="preserve">socioekonomske reforme i provedu ih u skladu sa smjernicama za politiku ERP-a.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rFonts w:ascii="TimesNewRomanPSMT" w:hAnsi="TimesNewRomanPSMT" w:cs="TimesNewRomanPSMT"/>
          <w:color w:val="auto"/>
          <w:sz w:val="23"/>
          <w:szCs w:val="23"/>
        </w:rPr>
        <w:t>Usto, Komisija potiče Bosnu i Hercegovinu da nas</w:t>
      </w:r>
      <w:r>
        <w:rPr>
          <w:color w:val="auto"/>
          <w:sz w:val="23"/>
          <w:szCs w:val="23"/>
        </w:rPr>
        <w:t xml:space="preserve">tavi sudjelovati u regionalnoj suradnji i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jačati bilateralne odnose sa susjednim zemljama, među ostalim sklapanjem graničnih sporazuma i u težnji trajnom pomirenju na zapadnom Balkanu.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rFonts w:ascii="TimesNewRomanPSMT" w:hAnsi="TimesNewRomanPSMT" w:cs="TimesNewRomanPSMT"/>
          <w:color w:val="auto"/>
          <w:sz w:val="23"/>
          <w:szCs w:val="23"/>
        </w:rPr>
        <w:t xml:space="preserve">Komisija preporučuje Vijeću da raspravi o ovom Mišljenju i daljnjim događajima u pogledu ključnih prioriteta nakon osnivanja vlada u Bosni i Hercegovini. </w:t>
      </w:r>
    </w:p>
    <w:p w:rsidR="000A43D4" w:rsidRDefault="000A43D4" w:rsidP="000A43D4">
      <w:pPr>
        <w:pStyle w:val="Default"/>
        <w:rPr>
          <w:color w:val="auto"/>
          <w:sz w:val="23"/>
          <w:szCs w:val="23"/>
        </w:rPr>
      </w:pPr>
      <w:r>
        <w:rPr>
          <w:rFonts w:ascii="TimesNewRomanPSMT" w:hAnsi="TimesNewRomanPSMT" w:cs="TimesNewRomanPSMT"/>
          <w:color w:val="auto"/>
          <w:sz w:val="23"/>
          <w:szCs w:val="23"/>
        </w:rPr>
        <w:t>Komisija će pratiti napredak Bosne i Hercegovine u institucionalnom okviru Sporazuma o stabilizaciji i pridruživanju te će joj nastaviti pružati financijsku potporu u okvir</w:t>
      </w:r>
      <w:r>
        <w:rPr>
          <w:color w:val="auto"/>
          <w:sz w:val="23"/>
          <w:szCs w:val="23"/>
        </w:rPr>
        <w:t xml:space="preserve">u Instrumenta </w:t>
      </w:r>
      <w:r>
        <w:rPr>
          <w:rFonts w:ascii="TimesNewRomanPSMT" w:hAnsi="TimesNewRomanPSMT" w:cs="TimesNewRomanPSMT"/>
          <w:color w:val="auto"/>
          <w:sz w:val="23"/>
          <w:szCs w:val="23"/>
        </w:rPr>
        <w:t xml:space="preserve">pretpristupne pomoći. </w:t>
      </w:r>
    </w:p>
    <w:p w:rsidR="00255803" w:rsidRDefault="000A43D4" w:rsidP="000A43D4">
      <w:proofErr w:type="spellStart"/>
      <w:r>
        <w:rPr>
          <w:rFonts w:ascii="TimesNewRomanPSMT" w:hAnsi="TimesNewRomanPSMT" w:cs="TimesNewRomanPSMT"/>
          <w:sz w:val="23"/>
          <w:szCs w:val="23"/>
        </w:rPr>
        <w:t>Komisija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će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podnijeti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izvješće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o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Bosni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Hercegovini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kao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dio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paketa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za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proširenje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za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2020.,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u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kojem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će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preispitati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provedba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prethodno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navedenih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ključnih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prioriteta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uzimajući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u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obzir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sljedeće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korake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zemlje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putu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prema</w:t>
      </w:r>
      <w:proofErr w:type="spellEnd"/>
      <w:r>
        <w:rPr>
          <w:sz w:val="23"/>
          <w:szCs w:val="23"/>
        </w:rPr>
        <w:t xml:space="preserve"> EU-u.</w:t>
      </w:r>
    </w:p>
    <w:sectPr w:rsidR="00255803" w:rsidSect="002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412F"/>
    <w:multiLevelType w:val="hybridMultilevel"/>
    <w:tmpl w:val="ECC020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54B00"/>
    <w:multiLevelType w:val="hybridMultilevel"/>
    <w:tmpl w:val="85DCC258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1F99"/>
    <w:multiLevelType w:val="hybridMultilevel"/>
    <w:tmpl w:val="5FD01A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3D4"/>
    <w:rsid w:val="00040FBD"/>
    <w:rsid w:val="000A43D4"/>
    <w:rsid w:val="00255803"/>
    <w:rsid w:val="00521DC5"/>
    <w:rsid w:val="00B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4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4942</Characters>
  <Application>Microsoft Office Word</Application>
  <DocSecurity>0</DocSecurity>
  <Lines>41</Lines>
  <Paragraphs>11</Paragraphs>
  <ScaleCrop>false</ScaleCrop>
  <Company>Grizli777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USKSA</dc:creator>
  <cp:keywords/>
  <dc:description/>
  <cp:lastModifiedBy>USKSA</cp:lastModifiedBy>
  <cp:revision>4</cp:revision>
  <dcterms:created xsi:type="dcterms:W3CDTF">2019-07-09T13:12:00Z</dcterms:created>
  <dcterms:modified xsi:type="dcterms:W3CDTF">2019-07-09T13:14:00Z</dcterms:modified>
</cp:coreProperties>
</file>